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EB" w:rsidRDefault="0015560D">
      <w:pPr>
        <w:ind w:left="1" w:hanging="3"/>
        <w:jc w:val="center"/>
        <w:rPr>
          <w:rFonts w:ascii="Times New Roman" w:eastAsia="Times New Roman" w:hAnsi="Times New Roman" w:cs="Times New Roman"/>
          <w:b/>
          <w:color w:val="00246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465"/>
          <w:sz w:val="26"/>
          <w:szCs w:val="26"/>
        </w:rPr>
        <w:t xml:space="preserve">MAKTABGACHA, UMUMIY O‘RTA VA MAKTABDAN TASHQARI TA’LIM TASHKILOTLARI PEDAGOG KADRLARINI ATTESTATSIYADAN O‘TKAZISH UCHUN BIOLOGIYA FANIDAN MALAKA SINOVI TOPSHIRIQLARI </w:t>
      </w:r>
      <w:r>
        <w:rPr>
          <w:rFonts w:ascii="Times New Roman" w:eastAsia="Times New Roman" w:hAnsi="Times New Roman" w:cs="Times New Roman"/>
          <w:b/>
          <w:color w:val="002465"/>
          <w:sz w:val="26"/>
          <w:szCs w:val="26"/>
        </w:rPr>
        <w:t>SPET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2465"/>
          <w:sz w:val="26"/>
          <w:szCs w:val="26"/>
        </w:rPr>
        <w:t>SIFIKATSIYASI</w:t>
      </w:r>
    </w:p>
    <w:p w:rsidR="00A740EB" w:rsidRDefault="0015560D">
      <w:pPr>
        <w:ind w:left="1" w:hanging="3"/>
        <w:jc w:val="center"/>
        <w:rPr>
          <w:rFonts w:ascii="Times New Roman" w:eastAsia="Times New Roman" w:hAnsi="Times New Roman" w:cs="Times New Roman"/>
          <w:color w:val="0024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KIRISH</w:t>
      </w:r>
    </w:p>
    <w:p w:rsidR="00A740EB" w:rsidRDefault="00155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Biologiya fanini o‘qitishda o‘quvchilarda kreativ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tanqidiy fikrlash, ilmiy bilimlarni amaliyot bilan uyg‘unlashtirish, ilmiy muloqot kompetensiyasini rivojlantirish hamda akademik salohiyatni oshirishga e’tibor qaratilishi lozim. Ushbu jarayon orqali 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ologik tafakkur, kuzatuvchanlik, eksperimental tahlil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ilmiy texnologiyalar bilan ishlash ko‘nikmalari shakllanadi.</w:t>
      </w:r>
    </w:p>
    <w:p w:rsidR="00A740EB" w:rsidRDefault="00155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Zamonaviy ta’lim biologiya o‘qituvchisidan fanni chuqur anglash, uni integratsiyalashgan tarzda o‘rgatish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ilg‘or pedagogik texnologiyal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arni qo‘llashni talab etadi. Shu sababli, o‘qituvchi o‘z faoliyatini nazariy bilimlarni amaliy misollar bilan boyitish, fundamental fanlarga qiziqishni oshirish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o‘quvchilarni tadqiqotga yo‘naltirishga qaratishi maqsadga muvofiqdir.</w:t>
      </w:r>
    </w:p>
    <w:p w:rsidR="00A740EB" w:rsidRDefault="00155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Pedagog </w:t>
      </w:r>
      <w:r>
        <w:rPr>
          <w:rFonts w:ascii="Times New Roman" w:eastAsia="Times New Roman" w:hAnsi="Times New Roman" w:cs="Times New Roman"/>
          <w:color w:val="002465"/>
          <w:sz w:val="28"/>
          <w:szCs w:val="28"/>
        </w:rPr>
        <w:t>kadrlarning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ilim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salohiyatini baholash tizimi ham aynan ana shu kompetensiyalarni aniqlashga yo‘naltirilgan. Mazkur test spetsifikatsiyasi biologiya fanidan tuziladigan test topshiriqlari mazmuni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ularga qo‘yiladigan talablarni belgilaydi.Tajriba sinovlari (aprob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atsiyalar) natijasiga ko‘ra hujjatga zarur o‘zgartirishlar va tuzatishlar kiritilishi mumkin.</w:t>
      </w:r>
    </w:p>
    <w:p w:rsidR="00A740EB" w:rsidRDefault="0015560D">
      <w:pPr>
        <w:spacing w:before="240" w:after="0" w:line="276" w:lineRule="auto"/>
        <w:ind w:left="-2" w:firstLine="710"/>
        <w:jc w:val="both"/>
        <w:rPr>
          <w:rFonts w:ascii="Times New Roman" w:eastAsia="Times New Roman" w:hAnsi="Times New Roman" w:cs="Times New Roman"/>
          <w:color w:val="0024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I. Biologiya fanini bilishni baholash uchun test sinovi turlari</w:t>
      </w:r>
    </w:p>
    <w:p w:rsidR="00A740EB" w:rsidRDefault="0015560D">
      <w:pP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Biologiya fani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bo‘yicha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mutaxassis o‘qituvchilarning ega bo‘lishi kerak bo‘lgan bilim, ko‘nikma 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malakalarni baholashga mo‘ljallangan topshiriqlardan iborat.</w:t>
      </w:r>
    </w:p>
    <w:p w:rsidR="00A740EB" w:rsidRDefault="0015560D">
      <w:pPr>
        <w:spacing w:after="0" w:line="276" w:lineRule="auto"/>
        <w:ind w:left="-2" w:firstLine="3"/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 xml:space="preserve">          II. Biologiya fanidagi bilimlarni baholash uchun test sinovlari bilan qamrab </w:t>
      </w:r>
      <w:proofErr w:type="gramStart"/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olingan  mazmun</w:t>
      </w:r>
      <w:proofErr w:type="gramEnd"/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 xml:space="preserve"> sohalari</w:t>
      </w:r>
    </w:p>
    <w:p w:rsidR="00A740EB" w:rsidRDefault="0015560D">
      <w:pPr>
        <w:ind w:lef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O‘qituvchilarning biologiya fanidan bilimini baholash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bo‘yicha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topshiriqlari umumta’lim maktablarining 5–11-sinflari uchun kurs materiallari va malaka talablari bo‘yicha tegishli adabiyotlardan iborat bo</w:t>
      </w:r>
      <w:r>
        <w:rPr>
          <w:rFonts w:ascii="Times New Roman" w:eastAsia="Times New Roman" w:hAnsi="Times New Roman" w:cs="Times New Roman"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lib, fanning quyidagi bo‘limlarini qamrab oladi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0EB" w:rsidRDefault="0015560D">
      <w:pPr>
        <w:spacing w:after="0" w:line="276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Tabiat asoslari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uning fan va texnikadagi roli. Tiriklikning xilma-xilligi. </w:t>
      </w:r>
    </w:p>
    <w:p w:rsidR="00A740EB" w:rsidRDefault="0015560D">
      <w:pPr>
        <w:spacing w:after="0" w:line="276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Hujayra biologiyasi: hujayra tarkibi, tuzilishi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funksiyasi.</w:t>
      </w:r>
    </w:p>
    <w:p w:rsidR="00A740EB" w:rsidRDefault="0015560D">
      <w:pPr>
        <w:spacing w:after="0" w:line="276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Organizmlar biologiyasi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xilma-xilligi. </w:t>
      </w:r>
    </w:p>
    <w:p w:rsidR="00A740EB" w:rsidRDefault="0015560D">
      <w:pPr>
        <w:spacing w:after="0" w:line="276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Genetika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  evolyutsiya</w:t>
      </w:r>
      <w:proofErr w:type="gramEnd"/>
    </w:p>
    <w:p w:rsidR="00A740EB" w:rsidRDefault="0015560D">
      <w:pPr>
        <w:spacing w:after="0" w:line="276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Hayotning ekosistema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biosfera darajasi umumiy qonuniyatlari</w:t>
      </w:r>
    </w:p>
    <w:p w:rsidR="00A740EB" w:rsidRDefault="0015560D">
      <w:pPr>
        <w:spacing w:after="0" w:line="276" w:lineRule="auto"/>
        <w:ind w:lef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 1: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Biologiya fanining ushbu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bo‘limlari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umumta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lim maktablari standartlari asosida berilgan. Ular joriy o‘quv rejasi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malaka talablari asosida aniqlashtiriladi va kichikroq mavzular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ga bo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linadi va kodifikatorda taqdim etiladi.</w:t>
      </w:r>
    </w:p>
    <w:p w:rsidR="00A740EB" w:rsidRDefault="0015560D">
      <w:pPr>
        <w:spacing w:before="240"/>
        <w:ind w:left="1" w:firstLine="566"/>
        <w:jc w:val="both"/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III. Biologiya fanidan bilimlarni baholashda qamrab olinadigan konstruktlar</w:t>
      </w:r>
    </w:p>
    <w:p w:rsidR="00A740EB" w:rsidRDefault="00A740EB">
      <w:pPr>
        <w:spacing w:before="240"/>
        <w:ind w:left="1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5664"/>
      </w:tblGrid>
      <w:tr w:rsidR="00A740EB">
        <w:tc>
          <w:tcPr>
            <w:tcW w:w="562" w:type="dxa"/>
          </w:tcPr>
          <w:p w:rsidR="00A740EB" w:rsidRDefault="00A7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740EB" w:rsidRDefault="0015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Talablar</w:t>
            </w:r>
          </w:p>
        </w:tc>
        <w:tc>
          <w:tcPr>
            <w:tcW w:w="5664" w:type="dxa"/>
          </w:tcPr>
          <w:p w:rsidR="00A740EB" w:rsidRDefault="0015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Konstruktlar</w:t>
            </w:r>
          </w:p>
        </w:tc>
      </w:tr>
      <w:tr w:rsidR="00A740EB">
        <w:tc>
          <w:tcPr>
            <w:tcW w:w="562" w:type="dxa"/>
          </w:tcPr>
          <w:p w:rsidR="00A740EB" w:rsidRDefault="0015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740EB" w:rsidRDefault="0015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Tabiat asoslari va uning fan-texnika sohasidagi o‘rni</w:t>
            </w:r>
          </w:p>
        </w:tc>
        <w:tc>
          <w:tcPr>
            <w:tcW w:w="5664" w:type="dxa"/>
          </w:tcPr>
          <w:p w:rsidR="00A740EB" w:rsidRDefault="0015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Tabiat va uning fan hamda texnika rivojiga ta’siri–tabiiy jarayonlar va fan-texnika o‘zaro bog‘liqligini ajratish; Tabiiy jarayonlarini aniqlash, fan va texnika rivojiga tabiiy jarayonlar ta’sirini tahlil qilish, fan va texnikaning tabiiy jarayonlarga bog‘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liqligini tushunish, izohlash; Organizm turlarini va guruhlarini ajratish, hayvonlar, o‘simliklar, bakteriyalar, zamburug‘larni ta’riflash, ularning farqli xususiyatlarini solishtirish va guruhlash, farqlash va turlarga ajratish</w:t>
            </w:r>
          </w:p>
        </w:tc>
      </w:tr>
      <w:tr w:rsidR="00A740EB">
        <w:tc>
          <w:tcPr>
            <w:tcW w:w="562" w:type="dxa"/>
          </w:tcPr>
          <w:p w:rsidR="00A740EB" w:rsidRDefault="0015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740EB" w:rsidRDefault="0015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Hujayra biologiyasining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tarkibi va tuzilishini bilish, hujayra qismlarining vazifalarini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taqqoslash</w:t>
            </w:r>
          </w:p>
        </w:tc>
        <w:tc>
          <w:tcPr>
            <w:tcW w:w="5664" w:type="dxa"/>
          </w:tcPr>
          <w:p w:rsidR="00A740EB" w:rsidRDefault="0015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Asosiy organik va anorganik moddalarning nomi hamda funksiyasini aniqlash; organoidlar mavjudligini belgilash; moddalar almashinuvi bosqichlarini ketma-ket tartibda joylashtirish 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oki jarayonga mos organoidni tanlash; jarayonlarni energiya hosil bo‘lish darajasi bo‘yicha taqqoslash; DNKdagi axborot oqimi bosqichlarini farqlash; ilmiy dalillarni taqqoslash; jarayonlarning biosfera barqarorligidagi o‘rni va inson hayoti uchun ahamiyat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ini tahlil qilish hamda xulosa chiqarish</w:t>
            </w:r>
          </w:p>
        </w:tc>
      </w:tr>
      <w:tr w:rsidR="00A740EB">
        <w:tc>
          <w:tcPr>
            <w:tcW w:w="562" w:type="dxa"/>
          </w:tcPr>
          <w:p w:rsidR="00A740EB" w:rsidRDefault="0015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740EB" w:rsidRDefault="0015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Organizmlar biologiyasi va xilma-xilligi, asosiy turlari va guruhlarini farqlash</w:t>
            </w:r>
          </w:p>
        </w:tc>
        <w:tc>
          <w:tcPr>
            <w:tcW w:w="5664" w:type="dxa"/>
          </w:tcPr>
          <w:p w:rsidR="00A740EB" w:rsidRDefault="0015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To‘qimalarning asosiy turlarini (epiteliy, biriktiruvchi, mushak, nerv to‘qimalari) aniqlash, ularning tuzilishini ta’riflash, vazi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falarini tahlil qilish, to‘qima turlarini farqlash; Organizmlarning asosiy turlarini va guruhlarini aniqlash, tasniflash va tasniflash mezonlariga asosan guruhlarga ajratish; ularning tashqi va ichki tuzilishini taqqoslash va farqlash; ularning tuzilish, 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aoliyat, rivojlanish va o‘zaro munosabatlarini tahlil qilish; turli guruhlar o‘rtasidagi farqlarni aniqlash va misollar keltirish; biologik xilma-xillikni tushunish va tushuntirish.</w:t>
            </w:r>
            <w:proofErr w:type="gramEnd"/>
          </w:p>
        </w:tc>
      </w:tr>
      <w:tr w:rsidR="00A740EB">
        <w:tc>
          <w:tcPr>
            <w:tcW w:w="562" w:type="dxa"/>
          </w:tcPr>
          <w:p w:rsidR="00A740EB" w:rsidRDefault="0015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740EB" w:rsidRDefault="0015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Genetika asosiy tushunchalarini va qonuniyatlarini tushunish, genlar 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allellarni aniqlash</w:t>
            </w:r>
          </w:p>
        </w:tc>
        <w:tc>
          <w:tcPr>
            <w:tcW w:w="5664" w:type="dxa"/>
          </w:tcPr>
          <w:p w:rsidR="00A740EB" w:rsidRDefault="0015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Genlar va allellarni aniqlash, ularning irsiyatdagi rolini tushuntirish; DNK tuzilishi va funksiyasini tahlil qilish; asosiy genetik qonuniyatlarni qo‘llash va misollar bilan izohlash; genetik ma’lumotlarni aniqlash va o‘rganish.</w:t>
            </w:r>
          </w:p>
        </w:tc>
      </w:tr>
      <w:tr w:rsidR="00A740EB">
        <w:tc>
          <w:tcPr>
            <w:tcW w:w="562" w:type="dxa"/>
          </w:tcPr>
          <w:p w:rsidR="00A740EB" w:rsidRDefault="0015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740EB" w:rsidRDefault="0015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olyutsiya nazariyasini o‘rganish,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tabiiy tanlanish jarayonini tushunish, turlarning paydo bo‘lishi va rivojlanishini tahlil qilish</w:t>
            </w:r>
          </w:p>
        </w:tc>
        <w:tc>
          <w:tcPr>
            <w:tcW w:w="5664" w:type="dxa"/>
          </w:tcPr>
          <w:p w:rsidR="00A740EB" w:rsidRDefault="0015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Evolyutsiya jarayonini ta'riflash, tabiiy tanlanish mexanizmini tushuntirish; turlarning paydo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bo‘lishi va rivojlanishini misollar orqali izohlash; evolyutsion qonuniyatlarni tahlil qilish va qo‘llash. Ekosistema tuzilishini tushuntirish; biotik va abiotik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komponentlarni aniqlash; biosfera darajasidagi hayot tizimlarini o‘rganish; ekosistemalarning umumiy qonuniyatlarini taqqoslash va tahlil qilish.</w:t>
            </w:r>
          </w:p>
          <w:p w:rsidR="00A740EB" w:rsidRDefault="0015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Organizmlar o‘rtasidagi simbioz, raqobat, oziqlanish kabi munosabatlarni aniqlash va ta’riflash; ekologik tiz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imdagi o‘zaro ta’sirlarni tahlil qilish; muhit sharoitlariga moslashish jarayonlarini tushuntirish.</w:t>
            </w:r>
          </w:p>
        </w:tc>
      </w:tr>
    </w:tbl>
    <w:p w:rsidR="00A740EB" w:rsidRDefault="00A740EB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40EB" w:rsidRDefault="0015560D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Test sinovlari yordamida biologiya fani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bo‘yicha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bilimlarni baholashda quyidagi aqliy faoliyat turlari baholanadi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740EB" w:rsidRDefault="0015560D">
      <w:p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Bilish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0EB" w:rsidRDefault="0015560D">
      <w:p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Qo‘llash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0EB" w:rsidRDefault="0015560D">
      <w:p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Mulohaza yuritish.</w:t>
      </w:r>
    </w:p>
    <w:p w:rsidR="00A740EB" w:rsidRDefault="0015560D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0024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IV</w:t>
      </w:r>
      <w:proofErr w:type="gramStart"/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.  Biologiya</w:t>
      </w:r>
      <w:proofErr w:type="gramEnd"/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 xml:space="preserve"> fani o‘qituvchilarini attestatsiyadan o‘tkazishda bilimlarni baholash uchun ishlatiladigan test turlari  </w:t>
      </w:r>
    </w:p>
    <w:p w:rsidR="00A740EB" w:rsidRDefault="0015560D">
      <w:pPr>
        <w:spacing w:after="0"/>
        <w:ind w:left="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Y1 – Mazmunga doir to‘rtta javob variantli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bitta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toʻgʻri javobga ega yopiq test topshirigʻi.</w:t>
      </w:r>
    </w:p>
    <w:p w:rsidR="00A740EB" w:rsidRDefault="0015560D">
      <w:pPr>
        <w:spacing w:after="0"/>
        <w:ind w:left="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Y2 – Mazmunga doir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bir necha javobga ega bo‘lgan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shaklidagi  yopiq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topshirigʻi.</w:t>
      </w:r>
    </w:p>
    <w:p w:rsidR="00A740EB" w:rsidRDefault="0015560D">
      <w:pPr>
        <w:spacing w:after="0"/>
        <w:ind w:left="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Y3 – Mazmunga doir moslikni topish yopiq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testi  topshirig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ʻi.</w:t>
      </w:r>
    </w:p>
    <w:p w:rsidR="00A740EB" w:rsidRDefault="0015560D">
      <w:pPr>
        <w:spacing w:after="0"/>
        <w:ind w:left="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Y4 – Mazmun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yuzasidan  ketma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-ketlikni joylashtirish shaklida  yopiq test  topshirigʻi.</w:t>
      </w:r>
    </w:p>
    <w:p w:rsidR="00A740EB" w:rsidRDefault="0015560D">
      <w:pPr>
        <w:spacing w:after="0"/>
        <w:ind w:left="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Y5 – Mazmun yuzasidan qo‘llashga oid “ha/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yo‘q” yoki “to‘g‘ri/ “noto‘g‘ri” shaklidagi yopiq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  topshirig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ʻi.</w:t>
      </w:r>
    </w:p>
    <w:p w:rsidR="00A740EB" w:rsidRDefault="0015560D">
      <w:pPr>
        <w:spacing w:before="24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Eslatma 2: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texnik imkoniyatlar tufayli testning ayrim turlari o‘zgarishi mumkin.</w:t>
      </w:r>
    </w:p>
    <w:p w:rsidR="00A740EB" w:rsidRDefault="0015560D">
      <w:pPr>
        <w:widowControl w:val="0"/>
        <w:tabs>
          <w:tab w:val="left" w:pos="829"/>
          <w:tab w:val="left" w:pos="830"/>
        </w:tabs>
        <w:ind w:right="13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lastRenderedPageBreak/>
        <w:t xml:space="preserve">V. Mutaxassis o‘qituvchilar uchun biologiya fanidan testlar </w:t>
      </w: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 xml:space="preserve">                                                spetsifikatsiyasi</w:t>
      </w:r>
    </w:p>
    <w:tbl>
      <w:tblPr>
        <w:tblStyle w:val="af0"/>
        <w:tblW w:w="9752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3402"/>
        <w:gridCol w:w="1449"/>
        <w:gridCol w:w="1984"/>
        <w:gridCol w:w="965"/>
      </w:tblGrid>
      <w:tr w:rsidR="00A740EB">
        <w:tc>
          <w:tcPr>
            <w:tcW w:w="1952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Mazmun soha</w:t>
            </w:r>
          </w:p>
        </w:tc>
        <w:tc>
          <w:tcPr>
            <w:tcW w:w="3402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Bo‘lim</w:t>
            </w:r>
          </w:p>
        </w:tc>
        <w:tc>
          <w:tcPr>
            <w:tcW w:w="1449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Topshiriq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lar soni</w:t>
            </w: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Baholana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digan aqliy  faoliyat turi</w:t>
            </w:r>
          </w:p>
        </w:tc>
        <w:tc>
          <w:tcPr>
            <w:tcW w:w="965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Test turi</w:t>
            </w:r>
          </w:p>
        </w:tc>
      </w:tr>
      <w:tr w:rsidR="00A740EB">
        <w:trPr>
          <w:cantSplit/>
          <w:trHeight w:val="324"/>
        </w:trPr>
        <w:tc>
          <w:tcPr>
            <w:tcW w:w="1952" w:type="dxa"/>
            <w:vMerge w:val="restart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Tabiat asoslari va uning fan va texnikadagi roli. Tiriklikning xilma-xilligi</w:t>
            </w:r>
          </w:p>
        </w:tc>
        <w:tc>
          <w:tcPr>
            <w:tcW w:w="3402" w:type="dxa"/>
            <w:vMerge w:val="restart"/>
            <w:vAlign w:val="center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Biologiya fanining rivojlanishi va o‘rganish usullari. Tiriklikning tuzilish darajalari darajalarga mos misollar. Biologiya fanining asosiy tarmoqlarini va ularning har birida o‘rganiladigan asosiy obyektlar. Viruslar, prokariotlar va eukariotlar o‘rtasida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 asosiy farqlar.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Tirik organizmlar xilma-xilligining ahamiyati, inson va tabiat uchun o‘rni, ularning barqarorlikdagi roli.</w:t>
            </w:r>
          </w:p>
        </w:tc>
        <w:tc>
          <w:tcPr>
            <w:tcW w:w="1449" w:type="dxa"/>
            <w:vMerge w:val="restart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965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379"/>
        </w:trPr>
        <w:tc>
          <w:tcPr>
            <w:tcW w:w="195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288"/>
        </w:trPr>
        <w:tc>
          <w:tcPr>
            <w:tcW w:w="195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635"/>
        </w:trPr>
        <w:tc>
          <w:tcPr>
            <w:tcW w:w="195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</w:tr>
      <w:tr w:rsidR="00A740EB">
        <w:trPr>
          <w:cantSplit/>
          <w:trHeight w:val="948"/>
        </w:trPr>
        <w:tc>
          <w:tcPr>
            <w:tcW w:w="195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965" w:type="dxa"/>
            <w:tcBorders>
              <w:top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288"/>
        </w:trPr>
        <w:tc>
          <w:tcPr>
            <w:tcW w:w="1952" w:type="dxa"/>
            <w:vMerge w:val="restart"/>
          </w:tcPr>
          <w:p w:rsidR="00A740EB" w:rsidRDefault="00A740EB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Hujayra biologiyasi: hujayra tarkibi, tuzilishi va funksiyasi </w:t>
            </w:r>
          </w:p>
        </w:tc>
        <w:tc>
          <w:tcPr>
            <w:tcW w:w="3402" w:type="dxa"/>
            <w:vMerge w:val="restart"/>
            <w:vAlign w:val="center"/>
          </w:tcPr>
          <w:p w:rsidR="00A740EB" w:rsidRDefault="0015560D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Hujayraning kimyoviy tarkibi. Prokariot va eukariot hujayralar tuzilishi.</w:t>
            </w:r>
          </w:p>
          <w:p w:rsidR="00A740EB" w:rsidRDefault="0015560D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Hujayrada modda va energiya almashinuvi.</w:t>
            </w:r>
          </w:p>
          <w:p w:rsidR="00A740EB" w:rsidRDefault="0015560D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Energetik almashinuv bosqichlari. Fotosintez va xemosintez. Gen va irsiy axbor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ot.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Hujayra evolyutsiyasi, fotosintez hamda xemosintez jarayonlarining inson hayoti va tabiatga ta’siri</w:t>
            </w:r>
          </w:p>
        </w:tc>
        <w:tc>
          <w:tcPr>
            <w:tcW w:w="1449" w:type="dxa"/>
            <w:vMerge w:val="restart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228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228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396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275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245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Y4</w:t>
            </w:r>
          </w:p>
        </w:tc>
      </w:tr>
      <w:tr w:rsidR="00A740EB">
        <w:trPr>
          <w:cantSplit/>
          <w:trHeight w:val="1554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</w:trPr>
        <w:tc>
          <w:tcPr>
            <w:tcW w:w="1952" w:type="dxa"/>
            <w:vMerge w:val="restart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Organizmlar biologiyasi va xilma-xilligi</w:t>
            </w:r>
          </w:p>
        </w:tc>
        <w:tc>
          <w:tcPr>
            <w:tcW w:w="3402" w:type="dxa"/>
            <w:vMerge w:val="restart"/>
            <w:vAlign w:val="center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O‘simlik va hayvon to‘qimalari Yuksak o‘simlik organlari Nerv tizimi va boshqaruv. Gumoral boshqaruv va bezlar.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Oziqlanish turlari va hazm qilish tizimi. Nafas olish turlari. Ayirish tizimi.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Ichki muhit va moddalar transporti. Qon aylanish tizimi Limfa ayl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anish tizimi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Tayanch-harakat tizimi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Ko‘rish, eshitish va boshqa analizatorlar. Ko‘payish va ontogenez. Tirik organizmlarning asosiy tizimlari hayotiy jarayonlarni ta’minlab, organizm barqarorligini saqlashda muhim o‘rni</w:t>
            </w:r>
          </w:p>
        </w:tc>
        <w:tc>
          <w:tcPr>
            <w:tcW w:w="1449" w:type="dxa"/>
            <w:tcBorders>
              <w:bottom w:val="nil"/>
            </w:tcBorders>
            <w:vAlign w:val="center"/>
          </w:tcPr>
          <w:p w:rsidR="00A740EB" w:rsidRDefault="00A740EB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740EB" w:rsidRDefault="00155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vMerge w:val="restart"/>
          </w:tcPr>
          <w:p w:rsidR="00A740EB" w:rsidRDefault="0015560D">
            <w:pPr>
              <w:widowControl w:val="0"/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507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0EB">
        <w:trPr>
          <w:cantSplit/>
          <w:trHeight w:val="348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403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</w:tr>
      <w:tr w:rsidR="00A740EB">
        <w:trPr>
          <w:cantSplit/>
          <w:trHeight w:val="544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580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509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597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97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Y4</w:t>
            </w:r>
          </w:p>
        </w:tc>
      </w:tr>
      <w:tr w:rsidR="00A740EB">
        <w:trPr>
          <w:cantSplit/>
          <w:trHeight w:val="245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411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Y5</w:t>
            </w:r>
          </w:p>
        </w:tc>
      </w:tr>
      <w:tr w:rsidR="00A740EB">
        <w:trPr>
          <w:cantSplit/>
          <w:trHeight w:val="244"/>
        </w:trPr>
        <w:tc>
          <w:tcPr>
            <w:tcW w:w="1952" w:type="dxa"/>
            <w:vMerge w:val="restart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Genetika va evolyutsiya</w:t>
            </w:r>
          </w:p>
        </w:tc>
        <w:tc>
          <w:tcPr>
            <w:tcW w:w="3402" w:type="dxa"/>
            <w:vMerge w:val="restart"/>
            <w:vAlign w:val="center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Mendel qonunlari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Morgan qonunlari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Jins genetikasi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Noallel genlarning irsiylanish shakllari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O‘zgaruvchanlik turlari va seleksiya va gen muhandisligi asoslari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Mikroevolyutsiya va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makroevolyutsiya jarayonlari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Evolyutsiyaning ilmiy dalillari</w:t>
            </w:r>
          </w:p>
        </w:tc>
        <w:tc>
          <w:tcPr>
            <w:tcW w:w="1449" w:type="dxa"/>
            <w:vMerge w:val="restart"/>
            <w:vAlign w:val="center"/>
          </w:tcPr>
          <w:p w:rsidR="00A740EB" w:rsidRDefault="0015560D">
            <w:pPr>
              <w:widowControl w:val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8</w:t>
            </w: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244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264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288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336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442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457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Y5</w:t>
            </w:r>
          </w:p>
        </w:tc>
      </w:tr>
      <w:tr w:rsidR="00A740EB">
        <w:trPr>
          <w:cantSplit/>
          <w:trHeight w:val="386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</w:trPr>
        <w:tc>
          <w:tcPr>
            <w:tcW w:w="1952" w:type="dxa"/>
            <w:vMerge w:val="restart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Hayotning ekosistema va biosfera darajasi umumiy qonuniyatlari</w:t>
            </w:r>
          </w:p>
        </w:tc>
        <w:tc>
          <w:tcPr>
            <w:tcW w:w="3402" w:type="dxa"/>
            <w:vMerge w:val="restart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Ekosistema strukturasini tahlil qilish. Ekologik omillar taʼsirini baholash.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Ekosistemalar barqarorligi va aylanishi. Biosferadagi moddalar va energiya aylanishi. Ekosistemalarning barqarorligini ta’minlashda trofik bog‘liqlik va moddalar-energiyaning aylanishining roli</w:t>
            </w:r>
          </w:p>
        </w:tc>
        <w:tc>
          <w:tcPr>
            <w:tcW w:w="1449" w:type="dxa"/>
            <w:vMerge w:val="restart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A740EB" w:rsidRDefault="00A740EB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40EB" w:rsidRDefault="00A740EB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740EB" w:rsidRDefault="00A740EB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</w:tr>
      <w:tr w:rsidR="00A740EB">
        <w:trPr>
          <w:cantSplit/>
          <w:trHeight w:val="288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600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</w:tr>
      <w:tr w:rsidR="00A740EB">
        <w:trPr>
          <w:cantSplit/>
          <w:trHeight w:val="717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</w:tr>
      <w:tr w:rsidR="00A740EB">
        <w:trPr>
          <w:cantSplit/>
          <w:trHeight w:val="1001"/>
        </w:trPr>
        <w:tc>
          <w:tcPr>
            <w:tcW w:w="195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Y5</w:t>
            </w:r>
          </w:p>
        </w:tc>
      </w:tr>
      <w:tr w:rsidR="00A740EB">
        <w:trPr>
          <w:trHeight w:val="340"/>
        </w:trPr>
        <w:tc>
          <w:tcPr>
            <w:tcW w:w="1952" w:type="dxa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Jami</w:t>
            </w:r>
          </w:p>
        </w:tc>
        <w:tc>
          <w:tcPr>
            <w:tcW w:w="3402" w:type="dxa"/>
            <w:vAlign w:val="center"/>
          </w:tcPr>
          <w:p w:rsidR="00A740EB" w:rsidRDefault="00A740EB">
            <w:pPr>
              <w:widowControl w:val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A740EB" w:rsidRDefault="0015560D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A740EB" w:rsidRDefault="00A740EB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A740EB" w:rsidRDefault="00A740EB">
            <w:pPr>
              <w:widowControl w:val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40EB" w:rsidRDefault="0015560D">
      <w:pPr>
        <w:widowControl w:val="0"/>
        <w:spacing w:before="89"/>
        <w:ind w:left="1" w:right="284"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Eslatma 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yuqoridagi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ko‘rsatkichlar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(testlar soni, qaror qabul qilish vaqti, ball, qiyinlik darajasi,) sinov natijalariga qarab o'zgarishi mumkin.</w:t>
      </w:r>
    </w:p>
    <w:p w:rsidR="00A740EB" w:rsidRDefault="00A740EB">
      <w:pPr>
        <w:widowControl w:val="0"/>
        <w:spacing w:before="47"/>
        <w:ind w:left="1" w:right="13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0EB" w:rsidRDefault="0015560D">
      <w:pPr>
        <w:widowControl w:val="0"/>
        <w:spacing w:line="240" w:lineRule="auto"/>
        <w:ind w:left="-2"/>
        <w:jc w:val="both"/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 xml:space="preserve">VI. Biologiya fanidagi bilimlarni baholash uchun test sinovlari qismlari </w:t>
      </w: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bo‘yicha</w:t>
      </w:r>
      <w:proofErr w:type="gramEnd"/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 xml:space="preserve"> qiyosiy ko‘rsatkichlar</w:t>
      </w:r>
    </w:p>
    <w:tbl>
      <w:tblPr>
        <w:tblStyle w:val="af1"/>
        <w:tblW w:w="934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2"/>
        <w:gridCol w:w="1417"/>
        <w:gridCol w:w="1418"/>
        <w:gridCol w:w="1418"/>
        <w:gridCol w:w="1417"/>
        <w:gridCol w:w="1984"/>
      </w:tblGrid>
      <w:tr w:rsidR="00A740EB">
        <w:trPr>
          <w:cantSplit/>
          <w:trHeight w:val="1179"/>
        </w:trPr>
        <w:tc>
          <w:tcPr>
            <w:tcW w:w="1692" w:type="dxa"/>
          </w:tcPr>
          <w:p w:rsidR="00A740EB" w:rsidRDefault="0015560D">
            <w:pPr>
              <w:widowControl w:val="0"/>
              <w:tabs>
                <w:tab w:val="left" w:pos="865"/>
              </w:tabs>
              <w:spacing w:line="240" w:lineRule="auto"/>
              <w:ind w:left="1" w:right="96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Test sinovlari qismlari</w:t>
            </w:r>
          </w:p>
        </w:tc>
        <w:tc>
          <w:tcPr>
            <w:tcW w:w="1417" w:type="dxa"/>
          </w:tcPr>
          <w:p w:rsidR="00A740EB" w:rsidRDefault="0015560D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Qamralgan mazmun sohalari</w:t>
            </w:r>
          </w:p>
        </w:tc>
        <w:tc>
          <w:tcPr>
            <w:tcW w:w="1418" w:type="dxa"/>
          </w:tcPr>
          <w:p w:rsidR="00A740EB" w:rsidRDefault="0015560D">
            <w:pPr>
              <w:widowControl w:val="0"/>
              <w:spacing w:line="240" w:lineRule="auto"/>
              <w:ind w:left="1" w:right="182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Topshiriq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soni</w:t>
            </w:r>
          </w:p>
        </w:tc>
        <w:tc>
          <w:tcPr>
            <w:tcW w:w="1418" w:type="dxa"/>
          </w:tcPr>
          <w:p w:rsidR="00A740EB" w:rsidRDefault="0015560D">
            <w:pPr>
              <w:widowControl w:val="0"/>
              <w:spacing w:line="240" w:lineRule="auto"/>
              <w:ind w:left="1" w:right="187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Ajratilgan vaqt</w:t>
            </w:r>
          </w:p>
        </w:tc>
        <w:tc>
          <w:tcPr>
            <w:tcW w:w="1417" w:type="dxa"/>
          </w:tcPr>
          <w:p w:rsidR="00A740EB" w:rsidRDefault="0015560D">
            <w:pPr>
              <w:widowControl w:val="0"/>
              <w:spacing w:line="240" w:lineRule="auto"/>
              <w:ind w:left="1" w:right="119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Ajratilgan ball</w:t>
            </w:r>
          </w:p>
        </w:tc>
        <w:tc>
          <w:tcPr>
            <w:tcW w:w="1984" w:type="dxa"/>
          </w:tcPr>
          <w:p w:rsidR="00A740EB" w:rsidRDefault="0015560D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Baholanadigan aqliy faoliyat</w:t>
            </w:r>
          </w:p>
        </w:tc>
      </w:tr>
      <w:tr w:rsidR="00A740EB">
        <w:trPr>
          <w:trHeight w:val="1550"/>
        </w:trPr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tabs>
                <w:tab w:val="left" w:pos="632"/>
              </w:tabs>
              <w:spacing w:line="240" w:lineRule="auto"/>
              <w:ind w:left="1" w:right="96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O‘qituvchilarning biologiya bo‘yicha bilimlarini baholash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V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daqiqa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ball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spacing w:before="1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 – 5 ta</w:t>
            </w:r>
          </w:p>
          <w:p w:rsidR="00A740EB" w:rsidRDefault="0015560D">
            <w:pPr>
              <w:widowControl w:val="0"/>
              <w:spacing w:before="1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Qo‘llash – 25 ta</w:t>
            </w:r>
          </w:p>
          <w:p w:rsidR="00A740EB" w:rsidRDefault="0015560D">
            <w:pPr>
              <w:widowControl w:val="0"/>
              <w:spacing w:before="1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 – 5 ta</w:t>
            </w:r>
          </w:p>
        </w:tc>
      </w:tr>
    </w:tbl>
    <w:p w:rsidR="00A740EB" w:rsidRDefault="0015560D">
      <w:pPr>
        <w:widowControl w:val="0"/>
        <w:spacing w:before="47"/>
        <w:ind w:left="1" w:right="13" w:firstLine="566"/>
        <w:jc w:val="center"/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VII.</w:t>
      </w: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ab/>
        <w:t xml:space="preserve">O‘qituvchilarni attestatsiyadan o‘tkazish uchun biologiya fanidan test topshiriqlari </w:t>
      </w:r>
      <w:proofErr w:type="gramStart"/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bo‘yicha</w:t>
      </w:r>
      <w:proofErr w:type="gramEnd"/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 xml:space="preserve"> kodifikator</w:t>
      </w:r>
    </w:p>
    <w:tbl>
      <w:tblPr>
        <w:tblStyle w:val="af2"/>
        <w:tblW w:w="9706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732"/>
        <w:gridCol w:w="6804"/>
      </w:tblGrid>
      <w:tr w:rsidR="00A740EB">
        <w:trPr>
          <w:trHeight w:val="1214"/>
        </w:trPr>
        <w:tc>
          <w:tcPr>
            <w:tcW w:w="1170" w:type="dxa"/>
          </w:tcPr>
          <w:p w:rsidR="00A740EB" w:rsidRDefault="0015560D">
            <w:pPr>
              <w:widowControl w:val="0"/>
              <w:spacing w:before="2" w:line="240" w:lineRule="auto"/>
              <w:ind w:left="1" w:right="128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Bo‘lim kodi</w:t>
            </w: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Baholangan tarkib elementining kodi</w:t>
            </w:r>
          </w:p>
        </w:tc>
        <w:tc>
          <w:tcPr>
            <w:tcW w:w="6804" w:type="dxa"/>
          </w:tcPr>
          <w:p w:rsidR="00A740EB" w:rsidRDefault="00A740E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40EB" w:rsidRDefault="0015560D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Sinov paytida baholangan tarkib elementi</w:t>
            </w:r>
          </w:p>
        </w:tc>
      </w:tr>
      <w:tr w:rsidR="00A740EB">
        <w:trPr>
          <w:trHeight w:val="669"/>
        </w:trPr>
        <w:tc>
          <w:tcPr>
            <w:tcW w:w="9706" w:type="dxa"/>
            <w:gridSpan w:val="3"/>
            <w:vAlign w:val="center"/>
          </w:tcPr>
          <w:p w:rsidR="00A740EB" w:rsidRDefault="0015560D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Tabiat asoslari va uning fan va texnikadagi roli. Tiriklikning xilma-xilligi</w:t>
            </w:r>
          </w:p>
        </w:tc>
      </w:tr>
      <w:tr w:rsidR="00A740EB">
        <w:trPr>
          <w:cantSplit/>
          <w:trHeight w:val="273"/>
        </w:trPr>
        <w:tc>
          <w:tcPr>
            <w:tcW w:w="1170" w:type="dxa"/>
            <w:vMerge w:val="restart"/>
          </w:tcPr>
          <w:p w:rsidR="00A740EB" w:rsidRDefault="0015560D">
            <w:pPr>
              <w:widowControl w:val="0"/>
              <w:spacing w:before="2" w:line="360" w:lineRule="auto"/>
              <w:ind w:left="1" w:right="128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</w:p>
          <w:p w:rsidR="00A740EB" w:rsidRDefault="0015560D">
            <w:pPr>
              <w:widowControl w:val="0"/>
              <w:spacing w:before="2" w:line="360" w:lineRule="auto"/>
              <w:ind w:left="1" w:right="128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1 </w:t>
            </w:r>
          </w:p>
          <w:p w:rsidR="00A740EB" w:rsidRDefault="0015560D">
            <w:pPr>
              <w:widowControl w:val="0"/>
              <w:spacing w:before="2" w:line="360" w:lineRule="auto"/>
              <w:ind w:left="1" w:right="128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Biologiya fanining rivojlanishi va o‘rganish usullari.</w:t>
            </w:r>
          </w:p>
        </w:tc>
      </w:tr>
      <w:tr w:rsidR="00A740EB">
        <w:trPr>
          <w:cantSplit/>
          <w:trHeight w:val="40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A740EB" w:rsidRDefault="0015560D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Biologiya fani tarmoqlari va tiriklikning tuzilish darajalari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Biologiya fanining asosiy tarmoqlarini va ularning o‘rganiladigan asosiy obyektlari</w:t>
            </w:r>
          </w:p>
        </w:tc>
      </w:tr>
      <w:tr w:rsidR="00A740EB">
        <w:trPr>
          <w:cantSplit/>
          <w:trHeight w:val="40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Tirik organizmlarning xilma-xilligi: umurtqali va umurtqasiz hayvonlar</w:t>
            </w:r>
          </w:p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Viruslar, prokariotlar va eukariotlar o‘rtasidagi asosiy farqlar</w:t>
            </w:r>
          </w:p>
        </w:tc>
      </w:tr>
      <w:tr w:rsidR="00A740EB">
        <w:trPr>
          <w:cantSplit/>
          <w:trHeight w:val="597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Tirik organizmlarning xilma-xilligi: sporali o‘simliklar va urug‘li o‘simliklar</w:t>
            </w:r>
          </w:p>
          <w:p w:rsidR="00A740EB" w:rsidRDefault="0015560D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Viruslar, prokariotlar va eukariotlar o‘rtasidagi asosiy farqlar</w:t>
            </w:r>
          </w:p>
        </w:tc>
      </w:tr>
      <w:tr w:rsidR="00A740EB">
        <w:trPr>
          <w:cantSplit/>
          <w:trHeight w:val="351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A740EB" w:rsidRDefault="0015560D">
            <w:pPr>
              <w:widowControl w:val="0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Tirik organizmlar xilma-xilligining ahamiyati, inson va tabiat uchun o‘rni, ularning barqarorlikdagi roli</w:t>
            </w:r>
          </w:p>
        </w:tc>
      </w:tr>
      <w:tr w:rsidR="00A740EB">
        <w:trPr>
          <w:trHeight w:val="409"/>
        </w:trPr>
        <w:tc>
          <w:tcPr>
            <w:tcW w:w="9706" w:type="dxa"/>
            <w:gridSpan w:val="3"/>
          </w:tcPr>
          <w:p w:rsidR="00A740EB" w:rsidRDefault="0015560D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Hujayra biologiyasi: hujayra tarkibi, tuzilishi va funksiyasi</w:t>
            </w:r>
          </w:p>
        </w:tc>
      </w:tr>
      <w:tr w:rsidR="00A740EB">
        <w:trPr>
          <w:cantSplit/>
          <w:trHeight w:val="335"/>
        </w:trPr>
        <w:tc>
          <w:tcPr>
            <w:tcW w:w="1170" w:type="dxa"/>
            <w:vMerge w:val="restart"/>
          </w:tcPr>
          <w:p w:rsidR="00A740EB" w:rsidRDefault="0015560D">
            <w:pPr>
              <w:widowControl w:val="0"/>
              <w:spacing w:before="2" w:line="360" w:lineRule="auto"/>
              <w:ind w:left="1" w:right="128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  <w:p w:rsidR="00A740EB" w:rsidRDefault="0015560D">
            <w:pPr>
              <w:widowControl w:val="0"/>
              <w:spacing w:before="2" w:line="360" w:lineRule="auto"/>
              <w:ind w:left="1" w:right="128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6804" w:type="dxa"/>
          </w:tcPr>
          <w:p w:rsidR="00A740EB" w:rsidRDefault="0015560D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Hujayraning kimyoviy tarkibi</w:t>
            </w:r>
          </w:p>
        </w:tc>
      </w:tr>
      <w:tr w:rsidR="00A740EB">
        <w:trPr>
          <w:cantSplit/>
          <w:trHeight w:val="301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A740EB" w:rsidRDefault="0015560D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Prokariot va eukariot hujayralar tuzilishi</w:t>
            </w:r>
          </w:p>
        </w:tc>
      </w:tr>
      <w:tr w:rsidR="00A740EB">
        <w:trPr>
          <w:cantSplit/>
          <w:trHeight w:val="40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A740EB" w:rsidRDefault="0015560D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Hujayrada modda va energiya almashinuvi</w:t>
            </w:r>
          </w:p>
        </w:tc>
      </w:tr>
      <w:tr w:rsidR="00A740EB">
        <w:trPr>
          <w:cantSplit/>
          <w:trHeight w:val="414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A740EB" w:rsidRDefault="0015560D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Energetik almashinuv bosqichlari</w:t>
            </w:r>
          </w:p>
        </w:tc>
      </w:tr>
      <w:tr w:rsidR="00A740EB">
        <w:trPr>
          <w:cantSplit/>
          <w:trHeight w:val="381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A740EB" w:rsidRDefault="0015560D">
            <w:pPr>
              <w:widowControl w:val="0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Fotosintez va xemosintez</w:t>
            </w:r>
          </w:p>
        </w:tc>
      </w:tr>
      <w:tr w:rsidR="00A740EB">
        <w:trPr>
          <w:cantSplit/>
          <w:trHeight w:val="346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 va irsiy axborot, mitoz va meyoz</w:t>
            </w:r>
          </w:p>
        </w:tc>
      </w:tr>
      <w:tr w:rsidR="00A740EB">
        <w:trPr>
          <w:cantSplit/>
          <w:trHeight w:val="316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Hujayra evolyutsiyasi va fotosintez hamda xemosintez jarayonlarining biologiya faniga va inson hayoti hamda tabiatga ta’siri</w:t>
            </w:r>
          </w:p>
        </w:tc>
      </w:tr>
      <w:tr w:rsidR="00A740EB">
        <w:trPr>
          <w:trHeight w:val="409"/>
        </w:trPr>
        <w:tc>
          <w:tcPr>
            <w:tcW w:w="9706" w:type="dxa"/>
            <w:gridSpan w:val="3"/>
          </w:tcPr>
          <w:p w:rsidR="00A740EB" w:rsidRDefault="0015560D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Organizmlar biologiyasi va xilma-xilligi</w:t>
            </w:r>
          </w:p>
        </w:tc>
      </w:tr>
      <w:tr w:rsidR="00A740EB">
        <w:trPr>
          <w:cantSplit/>
          <w:trHeight w:val="475"/>
        </w:trPr>
        <w:tc>
          <w:tcPr>
            <w:tcW w:w="1170" w:type="dxa"/>
            <w:vMerge w:val="restart"/>
          </w:tcPr>
          <w:p w:rsidR="00A740EB" w:rsidRDefault="0015560D">
            <w:pPr>
              <w:widowControl w:val="0"/>
              <w:spacing w:before="2" w:line="360" w:lineRule="auto"/>
              <w:ind w:left="1" w:right="128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</w:p>
          <w:p w:rsidR="00A740EB" w:rsidRDefault="0015560D">
            <w:pPr>
              <w:widowControl w:val="0"/>
              <w:spacing w:before="2" w:line="360" w:lineRule="auto"/>
              <w:ind w:left="1" w:right="128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3</w:t>
            </w: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3.1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O‘simlik va hayvon to‘qimalari</w:t>
            </w:r>
          </w:p>
        </w:tc>
      </w:tr>
      <w:tr w:rsidR="00A740EB">
        <w:trPr>
          <w:cantSplit/>
          <w:trHeight w:val="427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3.2</w:t>
            </w:r>
          </w:p>
        </w:tc>
        <w:tc>
          <w:tcPr>
            <w:tcW w:w="6804" w:type="dxa"/>
          </w:tcPr>
          <w:p w:rsidR="00A740EB" w:rsidRDefault="0015560D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Nerv tizimi va gumoral boshqaruv</w:t>
            </w:r>
          </w:p>
        </w:tc>
      </w:tr>
      <w:tr w:rsidR="00A740EB">
        <w:trPr>
          <w:cantSplit/>
          <w:trHeight w:val="394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3.3</w:t>
            </w:r>
          </w:p>
        </w:tc>
        <w:tc>
          <w:tcPr>
            <w:tcW w:w="6804" w:type="dxa"/>
          </w:tcPr>
          <w:p w:rsidR="00A740EB" w:rsidRDefault="0015560D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Organizmning o‘z-o‘zini idora qilishi</w:t>
            </w:r>
          </w:p>
        </w:tc>
      </w:tr>
      <w:tr w:rsidR="00A740EB">
        <w:trPr>
          <w:cantSplit/>
          <w:trHeight w:val="40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3.4</w:t>
            </w:r>
          </w:p>
        </w:tc>
        <w:tc>
          <w:tcPr>
            <w:tcW w:w="6804" w:type="dxa"/>
          </w:tcPr>
          <w:p w:rsidR="00A740EB" w:rsidRDefault="0015560D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Oziqlanish turlari va hazm qilish tizimi</w:t>
            </w:r>
          </w:p>
        </w:tc>
      </w:tr>
      <w:tr w:rsidR="00A740EB">
        <w:trPr>
          <w:cantSplit/>
          <w:trHeight w:val="326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3.5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Nafas olish turlari va tizimi, ayirish tizimi</w:t>
            </w:r>
          </w:p>
        </w:tc>
      </w:tr>
      <w:tr w:rsidR="00A740EB">
        <w:trPr>
          <w:cantSplit/>
          <w:trHeight w:val="434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3.6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Ichki muhit va moddalar transporti, qon va limfa aylanish tizimi</w:t>
            </w:r>
          </w:p>
        </w:tc>
      </w:tr>
      <w:tr w:rsidR="00A740EB">
        <w:trPr>
          <w:cantSplit/>
          <w:trHeight w:val="281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3.7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Tayanch-harakat tizimi</w:t>
            </w:r>
          </w:p>
        </w:tc>
      </w:tr>
      <w:tr w:rsidR="00A740EB">
        <w:trPr>
          <w:cantSplit/>
          <w:trHeight w:val="37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3.8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Ko‘rish, eshitish va boshqa analizatorlar</w:t>
            </w:r>
          </w:p>
        </w:tc>
      </w:tr>
      <w:tr w:rsidR="00A740EB">
        <w:trPr>
          <w:cantSplit/>
          <w:trHeight w:val="331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3.9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Ko‘payish xillari</w:t>
            </w:r>
          </w:p>
        </w:tc>
      </w:tr>
      <w:tr w:rsidR="00A740EB">
        <w:trPr>
          <w:cantSplit/>
          <w:trHeight w:val="297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40EB" w:rsidRDefault="0015560D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Tirik organizmlarning asosiy tizimlari hayotiy jarayonlarni ta’minlab, organizm barqarorligini saqlashda muhim o‘rni</w:t>
            </w:r>
          </w:p>
        </w:tc>
      </w:tr>
      <w:tr w:rsidR="00A740EB">
        <w:trPr>
          <w:trHeight w:val="409"/>
        </w:trPr>
        <w:tc>
          <w:tcPr>
            <w:tcW w:w="9706" w:type="dxa"/>
            <w:gridSpan w:val="3"/>
          </w:tcPr>
          <w:p w:rsidR="00A740EB" w:rsidRDefault="0015560D">
            <w:pPr>
              <w:widowControl w:val="0"/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  Genetika va evolyutsiya</w:t>
            </w:r>
          </w:p>
        </w:tc>
      </w:tr>
      <w:tr w:rsidR="00A740EB">
        <w:trPr>
          <w:cantSplit/>
          <w:trHeight w:val="409"/>
        </w:trPr>
        <w:tc>
          <w:tcPr>
            <w:tcW w:w="1170" w:type="dxa"/>
            <w:vMerge w:val="restart"/>
          </w:tcPr>
          <w:p w:rsidR="00A740EB" w:rsidRDefault="0015560D">
            <w:pPr>
              <w:widowControl w:val="0"/>
              <w:spacing w:before="2" w:line="360" w:lineRule="auto"/>
              <w:ind w:left="1" w:right="128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</w:p>
          <w:p w:rsidR="00A740EB" w:rsidRDefault="0015560D">
            <w:pPr>
              <w:widowControl w:val="0"/>
              <w:spacing w:before="2" w:line="360" w:lineRule="auto"/>
              <w:ind w:left="1" w:right="128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4.1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Organik olam filogenezini </w:t>
            </w:r>
          </w:p>
          <w:p w:rsidR="00A740EB" w:rsidRDefault="00A7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0EB">
        <w:trPr>
          <w:cantSplit/>
          <w:trHeight w:val="40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4.2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Mendel qonunlari</w:t>
            </w:r>
          </w:p>
          <w:p w:rsidR="00A740EB" w:rsidRDefault="00A7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0EB">
        <w:trPr>
          <w:cantSplit/>
          <w:trHeight w:val="40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4.3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Morgan qonunlari</w:t>
            </w:r>
          </w:p>
          <w:p w:rsidR="00A740EB" w:rsidRDefault="00A7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0EB">
        <w:trPr>
          <w:cantSplit/>
          <w:trHeight w:val="40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4.4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Jins genetikasi</w:t>
            </w:r>
          </w:p>
          <w:p w:rsidR="00A740EB" w:rsidRDefault="00A7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0EB">
        <w:trPr>
          <w:cantSplit/>
          <w:trHeight w:val="40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4.5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Noallel genlarning irsiylanish shakllari</w:t>
            </w:r>
          </w:p>
          <w:p w:rsidR="00A740EB" w:rsidRDefault="00A7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0EB">
        <w:trPr>
          <w:cantSplit/>
          <w:trHeight w:val="384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4.6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O‘zgaruvchanlik turlari, seleksiya va gen muhandisligi asoslari </w:t>
            </w:r>
          </w:p>
        </w:tc>
      </w:tr>
      <w:tr w:rsidR="00A740EB">
        <w:trPr>
          <w:cantSplit/>
          <w:trHeight w:val="224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4.7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Mikroevolyutsiya va makroevolyutsiya jarayonlari</w:t>
            </w:r>
          </w:p>
        </w:tc>
      </w:tr>
      <w:tr w:rsidR="00A740EB">
        <w:trPr>
          <w:cantSplit/>
          <w:trHeight w:val="562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4.8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A740EB" w:rsidRDefault="0015560D">
            <w:pPr>
              <w:widowControl w:val="0"/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 olam filogenezi,  evolyutsiyaning ilmiy dalillari</w:t>
            </w:r>
          </w:p>
        </w:tc>
      </w:tr>
      <w:tr w:rsidR="00A740EB">
        <w:trPr>
          <w:trHeight w:val="409"/>
        </w:trPr>
        <w:tc>
          <w:tcPr>
            <w:tcW w:w="9706" w:type="dxa"/>
            <w:gridSpan w:val="3"/>
          </w:tcPr>
          <w:p w:rsidR="00A740EB" w:rsidRDefault="0015560D">
            <w:pPr>
              <w:widowControl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Hayotning ekosistema va biosfera darajasi umumiy qonuniyatlari</w:t>
            </w:r>
          </w:p>
        </w:tc>
      </w:tr>
      <w:tr w:rsidR="00A740EB">
        <w:trPr>
          <w:cantSplit/>
          <w:trHeight w:val="377"/>
        </w:trPr>
        <w:tc>
          <w:tcPr>
            <w:tcW w:w="1170" w:type="dxa"/>
            <w:vMerge w:val="restart"/>
          </w:tcPr>
          <w:p w:rsidR="00A740EB" w:rsidRDefault="0015560D">
            <w:pPr>
              <w:widowControl w:val="0"/>
              <w:spacing w:before="2" w:line="360" w:lineRule="auto"/>
              <w:ind w:left="1" w:right="128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A740EB" w:rsidRDefault="0015560D">
            <w:pPr>
              <w:widowControl w:val="0"/>
              <w:spacing w:before="2" w:line="360" w:lineRule="auto"/>
              <w:ind w:left="1" w:right="128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5 </w:t>
            </w: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Ekosistema strukturasini tahlil qilish</w:t>
            </w:r>
          </w:p>
        </w:tc>
      </w:tr>
      <w:tr w:rsidR="00A740EB">
        <w:trPr>
          <w:cantSplit/>
          <w:trHeight w:val="40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5.2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Ekologik omillar taʼsirini baholash</w:t>
            </w:r>
          </w:p>
        </w:tc>
      </w:tr>
      <w:tr w:rsidR="00A740EB">
        <w:trPr>
          <w:cantSplit/>
          <w:trHeight w:val="409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5.3</w:t>
            </w:r>
          </w:p>
        </w:tc>
        <w:tc>
          <w:tcPr>
            <w:tcW w:w="6804" w:type="dxa"/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Ekosistemalar barqarorligi va aylanishi</w:t>
            </w:r>
          </w:p>
        </w:tc>
      </w:tr>
      <w:tr w:rsidR="00A740EB">
        <w:trPr>
          <w:cantSplit/>
          <w:trHeight w:val="368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5.4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A740EB" w:rsidRDefault="0015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Biosferadagi moddalar va energiya aylanishini tahlil qilish</w:t>
            </w:r>
          </w:p>
        </w:tc>
      </w:tr>
      <w:tr w:rsidR="00A740EB">
        <w:trPr>
          <w:cantSplit/>
          <w:trHeight w:val="205"/>
        </w:trPr>
        <w:tc>
          <w:tcPr>
            <w:tcW w:w="1170" w:type="dxa"/>
            <w:vMerge/>
          </w:tcPr>
          <w:p w:rsidR="00A740EB" w:rsidRDefault="00A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</w:tcBorders>
          </w:tcPr>
          <w:p w:rsidR="00A740EB" w:rsidRDefault="0015560D">
            <w:pPr>
              <w:widowControl w:val="0"/>
              <w:spacing w:line="321" w:lineRule="auto"/>
              <w:ind w:left="1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5.5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A740EB" w:rsidRDefault="0015560D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Ekosistemalarning barqarorligini ta’minlashda trofik bog‘liqlik va moddalar-energiyaning aylanishining roli</w:t>
            </w:r>
          </w:p>
        </w:tc>
      </w:tr>
    </w:tbl>
    <w:p w:rsidR="00A740EB" w:rsidRDefault="0015560D">
      <w:pPr>
        <w:widowControl w:val="0"/>
        <w:spacing w:before="47"/>
        <w:ind w:left="1" w:right="13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Eslatma 4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jadvalning birinchi ustunida biologiya fanining mazmun sohalari kodi, ikkinchi ustunda baholanadigan mazmun elementi kodi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uchinchi ustunda attestatsiya test sinovida baholanadigan mazmun elementi keltirilgan.</w:t>
      </w:r>
    </w:p>
    <w:p w:rsidR="00A740EB" w:rsidRDefault="0015560D">
      <w:pPr>
        <w:widowControl w:val="0"/>
        <w:spacing w:before="47"/>
        <w:ind w:left="1" w:right="13" w:firstLine="707"/>
        <w:jc w:val="both"/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VIII. Biologiya fanidagi bilimlarni bahola</w:t>
      </w: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sh mezoni</w:t>
      </w:r>
    </w:p>
    <w:p w:rsidR="00A740EB" w:rsidRDefault="0015560D">
      <w:pPr>
        <w:widowControl w:val="0"/>
        <w:spacing w:before="47" w:after="0"/>
        <w:ind w:left="1" w:right="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 bir sinov test turiga qarab turli xil baholash mezonlariga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ko‘ra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baholanadi:</w:t>
      </w:r>
    </w:p>
    <w:p w:rsidR="00A740EB" w:rsidRDefault="0015560D">
      <w:pPr>
        <w:widowControl w:val="0"/>
        <w:spacing w:before="47" w:after="0"/>
        <w:ind w:left="1" w:right="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belgilangan javob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to‘g‘ri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bo‘lsa, 2 ball.</w:t>
      </w:r>
    </w:p>
    <w:p w:rsidR="00A740EB" w:rsidRDefault="0015560D">
      <w:pPr>
        <w:widowControl w:val="0"/>
        <w:spacing w:before="47"/>
        <w:ind w:left="1" w:right="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belgilangan javob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noto‘g‘ri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bo‘lsa, 0 ball.</w:t>
      </w:r>
    </w:p>
    <w:p w:rsidR="00A740EB" w:rsidRDefault="0015560D">
      <w:pPr>
        <w:widowControl w:val="0"/>
        <w:spacing w:before="47"/>
        <w:ind w:left="1" w:right="13" w:firstLine="707"/>
        <w:jc w:val="both"/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465"/>
          <w:sz w:val="28"/>
          <w:szCs w:val="28"/>
        </w:rPr>
        <w:t>IX. Foydalanishga tavsiya etiladigan asosiy adabiyotlar: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Biologiya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sinf  O.Mavlonov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Toshkent “Oʻqituvchi ijodiy uyi”, 2017 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Biologiya 10-sinf A.Gafurov, J.Tolipova, O. Eshonqulov, A.Abdurahmonov Toshkent «Sharq» nashriyot-matbaa aksiyadorlik kompaniyasi bosh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tahririyati  2017</w:t>
      </w:r>
      <w:proofErr w:type="gramEnd"/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Biologiya. 11-sinf: Umumiy oʻrta 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ʼlim maktablarining 11-sinf uchun darslik, A.Gʻafurov, A.Abdukarimov, J.Tolipova, O.Ishankulov, M.Umaraliyeva, I.Abduraxmonova, 1-nashri. Toshkent: “Sharq nashriyoti”, 2018.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Biologiya. 8-sinf: Umumiy oʻrta taʼlim maktablarining 8-sinfi uchun darslik, 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Mavlonov, T.Tilavov, Aminov 6- nashri.  Toshkent: “Oʻqituvchi nashriyot – Matbaa Ijodiy uyi” 2019.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Biologiya. Sitologiya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genetika asoslari: 9-sinf: Umumiy oʻrta taʼlim maktablarining 9- sinfi uchun darslik, A.Zikiryayev, A.Toʻxtayev, I. Azimov, N.Sonin; 5-nashri. Toshkent: “Yangiyo‘l Poligraph Service”, 2019.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Biologiya. 7-sinf: Umumiy oʻrta taʼ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lim maktablarining 7- sinfi uchun darslik, K. Safarov, M.Umaraliyeva, Z.Tillayeva, I. Abduraxmonova, U.Raxmatov, S.Haytbayeva, M.Boʻronboyeva  1- nashri. Toshkent: “Respublika taʼlim markazi”, 2022. 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Biologiya. 10-sinf: Umumiy oʻrta taʼlim maktablarinin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10-sinfi uchun darslik, K.Safarov, I.Azimov, M.Umaraliyeva, U.Raxmatov, Z.Tillayeva, I.Abduraxmonova, E.Ochilov, S. Haytbayeva, L.Uralova 1- nashri. Toshkent “Respublika taʼlim markazi”, 2022. 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Genetika asoslari Т.E.Ostonaqulov, I.Т.Ergashev, K.Q.Sher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muhammedov, B.A.Normatov Toshkent-2005.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Genetikadan masalalar toʻplami A.O.Daminov Toshkent Tibbiyot akademiyasi Toshkent -2010.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Biologiya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genetika Г.Е.Ostonaqulov, I.X.Xamdamov, I.T.Ergashev, K.Q.Shermuxamedov Toshkent -2014. </w:t>
      </w:r>
    </w:p>
    <w:p w:rsidR="00A740EB" w:rsidRDefault="001556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Genetika A.T.G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ʻOfurov, S.S.Fayzullayev “TAFAKKUR” Toshkent 2010.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Umurtqalilar zoologiyasi C.Dadayev, Q.Saparov Toshkent “Turon Iqbol” nashriyoti- 2019.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Tibbiy biologiya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irsiyatdan qoʻllanma K.Nishonboyev, J.H.Hamidov Toshkent-2005.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Ekologiya. Darslik A. Ergashev Toshkent – “EFFEKT -D” 2019.</w:t>
      </w:r>
    </w:p>
    <w:p w:rsidR="00A740EB" w:rsidRDefault="0015560D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Xorij adabiyoti asosida tayyorlangan “Tabiiy fan” 6-sinf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  Jasvinder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Randhawa va Dr Natasha Mehta  – Toshkent: Novda Edutainment, 2024. </w:t>
      </w:r>
    </w:p>
    <w:p w:rsidR="00A740EB" w:rsidRDefault="0015560D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Tabiiy fanlar 6-sinf mashq daftari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Jasvinder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Randhawa va Dr Natasha Mehta, Teo Tang Vi. – Toshkent: Novda Edutainment, 2024. </w:t>
      </w:r>
    </w:p>
    <w:p w:rsidR="00A740EB" w:rsidRDefault="0015560D">
      <w:pPr>
        <w:spacing w:after="0"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PISA: естественнонаучная грамотность-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https://rikc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by/ru/PISA/3-ex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_pisa.pdf.</w:t>
      </w:r>
    </w:p>
    <w:p w:rsidR="00A740EB" w:rsidRDefault="0015560D">
      <w:pPr>
        <w:spacing w:line="276" w:lineRule="auto"/>
        <w:ind w:right="-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Xalqaro tadqiqotlarda oʻquvchilarning tabii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fanlar boʻyicha savodxonligini baholash, “SHARQ” nashriyot-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matbaa  aksiyadorlik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kompaniyasi bosh tahririyati, Toshkent – 2019.</w:t>
      </w:r>
    </w:p>
    <w:p w:rsidR="00A740EB" w:rsidRDefault="00A740EB">
      <w:pPr>
        <w:widowControl w:val="0"/>
        <w:spacing w:before="47"/>
        <w:ind w:left="1"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0EB" w:rsidRDefault="00A740E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7dp8vu" w:colFirst="0" w:colLast="0"/>
      <w:bookmarkEnd w:id="2"/>
    </w:p>
    <w:sectPr w:rsidR="00A740E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B"/>
    <w:rsid w:val="0015560D"/>
    <w:rsid w:val="00A7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CFD4"/>
  <w15:docId w15:val="{C8A3D020-12A0-4A36-A763-BA5E3D51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 w:line="240" w:lineRule="auto"/>
    </w:pPr>
    <w:rPr>
      <w:sz w:val="56"/>
      <w:szCs w:val="56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ody Text"/>
    <w:link w:val="a6"/>
    <w:uiPriority w:val="1"/>
    <w:qFormat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  <w:lang w:val="ms"/>
    </w:rPr>
  </w:style>
  <w:style w:type="paragraph" w:styleId="a7">
    <w:name w:val="Normal (Web)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9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Подзаголовок Знак"/>
    <w:basedOn w:val="a0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b">
    <w:name w:val="List Paragraph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c">
    <w:name w:val="Intense Quote"/>
    <w:link w:val="a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sr-only">
    <w:name w:val="sr-only"/>
    <w:basedOn w:val="a0"/>
    <w:qFormat/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kern w:val="0"/>
      <w:sz w:val="28"/>
      <w:szCs w:val="28"/>
      <w:lang w:val="ms"/>
    </w:rPr>
  </w:style>
  <w:style w:type="paragraph" w:styleId="ae">
    <w:name w:val="Subtitle"/>
    <w:basedOn w:val="a"/>
    <w:next w:val="a"/>
    <w:rPr>
      <w:color w:val="595959"/>
      <w:sz w:val="28"/>
      <w:szCs w:val="2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ik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j4dzyJEAqP30jl+yuE5CoUmW5w==">CgMxLjAyCGguZ2pkZ3hzMgloLjE3ZHA4dnU4AHIhMXJDN20zTE1IbmF5TGhFRkdkLUpZY2lwYWFKcmRuUmV5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2270</Words>
  <Characters>12940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2025-08-11T09:29:00Z</dcterms:created>
  <dcterms:modified xsi:type="dcterms:W3CDTF">2025-09-02T04:58:00Z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5CFECA9A9FE14D3DA86AD6EF6BA376B9_12</vt:lpwstr>
  </property>
</Properties>
</file>